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C848E" w14:textId="77777777" w:rsidR="00E751CF" w:rsidRDefault="00057DA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Табела 5.2 </w:t>
      </w:r>
      <w:r>
        <w:rPr>
          <w:sz w:val="24"/>
          <w:szCs w:val="24"/>
        </w:rPr>
        <w:t xml:space="preserve">Спецификација  предмета </w:t>
      </w:r>
    </w:p>
    <w:tbl>
      <w:tblPr>
        <w:tblStyle w:val="a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094"/>
        <w:gridCol w:w="1284"/>
        <w:gridCol w:w="2802"/>
        <w:gridCol w:w="693"/>
        <w:gridCol w:w="1012"/>
      </w:tblGrid>
      <w:tr w:rsidR="00E751CF" w14:paraId="7A49C34D" w14:textId="77777777">
        <w:tc>
          <w:tcPr>
            <w:tcW w:w="9720" w:type="dxa"/>
            <w:gridSpan w:val="7"/>
          </w:tcPr>
          <w:p w14:paraId="53262AEE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E751CF" w14:paraId="0A9A8CDC" w14:textId="77777777">
        <w:tc>
          <w:tcPr>
            <w:tcW w:w="9720" w:type="dxa"/>
            <w:gridSpan w:val="7"/>
          </w:tcPr>
          <w:p w14:paraId="7AD64ED0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Врста и ниво студија: Основне академске студије,  четврти семестар </w:t>
            </w:r>
          </w:p>
        </w:tc>
      </w:tr>
      <w:tr w:rsidR="00E751CF" w14:paraId="20E63B75" w14:textId="77777777">
        <w:trPr>
          <w:trHeight w:val="330"/>
        </w:trPr>
        <w:tc>
          <w:tcPr>
            <w:tcW w:w="9720" w:type="dxa"/>
            <w:gridSpan w:val="7"/>
          </w:tcPr>
          <w:p w14:paraId="661A7ACF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 Синтакса немачког језика 2</w:t>
            </w:r>
          </w:p>
        </w:tc>
      </w:tr>
      <w:tr w:rsidR="00E751CF" w14:paraId="7EA98CFA" w14:textId="77777777">
        <w:tc>
          <w:tcPr>
            <w:tcW w:w="9720" w:type="dxa"/>
            <w:gridSpan w:val="7"/>
          </w:tcPr>
          <w:p w14:paraId="3B83AC54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Наставник: </w:t>
            </w:r>
            <w:r>
              <w:rPr>
                <w:b/>
                <w:sz w:val="22"/>
                <w:szCs w:val="22"/>
              </w:rPr>
              <w:t>Момчиловић М. Николета</w:t>
            </w:r>
          </w:p>
          <w:p w14:paraId="4576EE87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сарадник</w:t>
            </w:r>
            <w:r>
              <w:rPr>
                <w:b/>
                <w:sz w:val="22"/>
                <w:szCs w:val="22"/>
              </w:rPr>
              <w:t xml:space="preserve">: Стаменковић З. Катарина </w:t>
            </w:r>
          </w:p>
        </w:tc>
      </w:tr>
      <w:tr w:rsidR="00E751CF" w14:paraId="0CCD0769" w14:textId="77777777">
        <w:tc>
          <w:tcPr>
            <w:tcW w:w="9720" w:type="dxa"/>
            <w:gridSpan w:val="7"/>
          </w:tcPr>
          <w:p w14:paraId="49924E27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обавезан</w:t>
            </w:r>
          </w:p>
        </w:tc>
      </w:tr>
      <w:tr w:rsidR="00E751CF" w14:paraId="53040151" w14:textId="77777777">
        <w:tc>
          <w:tcPr>
            <w:tcW w:w="9720" w:type="dxa"/>
            <w:gridSpan w:val="7"/>
          </w:tcPr>
          <w:p w14:paraId="30A2076F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5</w:t>
            </w:r>
          </w:p>
        </w:tc>
      </w:tr>
      <w:tr w:rsidR="00E751CF" w14:paraId="0E29EB62" w14:textId="77777777">
        <w:tc>
          <w:tcPr>
            <w:tcW w:w="9720" w:type="dxa"/>
            <w:gridSpan w:val="7"/>
          </w:tcPr>
          <w:p w14:paraId="5BB37204" w14:textId="1FB69BBC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Услов: </w:t>
            </w:r>
            <w:r w:rsidR="00CA402C">
              <w:rPr>
                <w:sz w:val="22"/>
                <w:szCs w:val="22"/>
                <w:lang w:val="sr-Cyrl-RS"/>
              </w:rPr>
              <w:t>положена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Синтакса немачког језика 1</w:t>
            </w:r>
          </w:p>
        </w:tc>
      </w:tr>
      <w:tr w:rsidR="00E751CF" w14:paraId="26BD0C43" w14:textId="77777777">
        <w:tc>
          <w:tcPr>
            <w:tcW w:w="9720" w:type="dxa"/>
            <w:gridSpan w:val="7"/>
          </w:tcPr>
          <w:p w14:paraId="7937BF9A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  <w:r>
              <w:rPr>
                <w:sz w:val="22"/>
                <w:szCs w:val="22"/>
              </w:rPr>
              <w:t xml:space="preserve"> </w:t>
            </w:r>
          </w:p>
          <w:p w14:paraId="6ABE6F34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Стицање теоријског и практичног знања о синтаксичком систему немачког језика, о особеностима комплексне реченице, првенствено у депендецијалној граматици, о реду речи у независној и зависној реченици, реченичним моделима и плановима. Оспособљавање студенат</w:t>
            </w:r>
            <w:r>
              <w:rPr>
                <w:sz w:val="22"/>
                <w:szCs w:val="22"/>
              </w:rPr>
              <w:t>а за анализу сложених реченица</w:t>
            </w:r>
            <w:r>
              <w:rPr>
                <w:b/>
                <w:sz w:val="22"/>
                <w:szCs w:val="22"/>
              </w:rPr>
              <w:t xml:space="preserve">. </w:t>
            </w:r>
          </w:p>
        </w:tc>
      </w:tr>
      <w:tr w:rsidR="00E751CF" w14:paraId="343701D0" w14:textId="77777777">
        <w:tc>
          <w:tcPr>
            <w:tcW w:w="9720" w:type="dxa"/>
            <w:gridSpan w:val="7"/>
          </w:tcPr>
          <w:p w14:paraId="3D8C2F2C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 </w:t>
            </w:r>
            <w:r>
              <w:rPr>
                <w:sz w:val="22"/>
                <w:szCs w:val="22"/>
              </w:rPr>
              <w:t xml:space="preserve"> </w:t>
            </w:r>
          </w:p>
          <w:p w14:paraId="45FA73BD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Студенти  могу на непознатом тексту да анализирају структуру реченице, односе међу реченицама у комплексној реченици, да препознају врсте зависних реченица, реченичне моделе и планове, владају знањем о в</w:t>
            </w:r>
            <w:r>
              <w:rPr>
                <w:sz w:val="22"/>
                <w:szCs w:val="22"/>
              </w:rPr>
              <w:t>алентности глагола, именица и придева и умеју да примењују исто у реченицама.</w:t>
            </w:r>
          </w:p>
        </w:tc>
      </w:tr>
      <w:tr w:rsidR="00E751CF" w14:paraId="4109ED10" w14:textId="77777777">
        <w:tc>
          <w:tcPr>
            <w:tcW w:w="9720" w:type="dxa"/>
            <w:gridSpan w:val="7"/>
          </w:tcPr>
          <w:p w14:paraId="3D4D4E79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Садржај предмета:   </w:t>
            </w:r>
          </w:p>
          <w:p w14:paraId="59C83D7D" w14:textId="77777777" w:rsidR="00E751CF" w:rsidRDefault="00E751CF">
            <w:pPr>
              <w:jc w:val="both"/>
              <w:rPr>
                <w:sz w:val="22"/>
                <w:szCs w:val="22"/>
              </w:rPr>
            </w:pPr>
          </w:p>
          <w:p w14:paraId="71EBD3D3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Предавања</w:t>
            </w:r>
            <w:r>
              <w:rPr>
                <w:sz w:val="22"/>
                <w:szCs w:val="22"/>
              </w:rPr>
              <w:t>:  Реченични модели. Функција реченичних делова. Структура  сложене реченице. Врсте реченица према садржају: изјавне, упитне, заповедне, ускличне.</w:t>
            </w:r>
            <w:r>
              <w:rPr>
                <w:sz w:val="22"/>
                <w:szCs w:val="22"/>
              </w:rPr>
              <w:t xml:space="preserve"> Индиректни облик реченица. Координација и субординација. Подела зависних реченица. Субјекатска, објекатска, адвербијална, атрибутска реченица. Релативне реченице, апозиција, номинална и адјективска фраза. Однос међузависности у комплексној реченици. Речен</w:t>
            </w:r>
            <w:r>
              <w:rPr>
                <w:sz w:val="22"/>
                <w:szCs w:val="22"/>
              </w:rPr>
              <w:t>ице у функцији допуне и додатка. Реченични оквир главне и зависне реченице, изоквиравање. Ред речи  у независној и зависној реченици. Валентност глагола, именица и придева.</w:t>
            </w:r>
          </w:p>
          <w:p w14:paraId="7F2A49AC" w14:textId="77777777" w:rsidR="00E751CF" w:rsidRDefault="00E751CF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14594DCA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Вежбе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Увежбавање теоријских знања о комплексној реченици на практичним примерима</w:t>
            </w:r>
            <w:r>
              <w:rPr>
                <w:sz w:val="22"/>
                <w:szCs w:val="22"/>
              </w:rPr>
              <w:t xml:space="preserve">. Анализа реченице (облик, функција и семантика конструкција). </w:t>
            </w:r>
          </w:p>
        </w:tc>
      </w:tr>
      <w:tr w:rsidR="00E751CF" w14:paraId="4C6A5CD8" w14:textId="77777777">
        <w:tc>
          <w:tcPr>
            <w:tcW w:w="9720" w:type="dxa"/>
            <w:gridSpan w:val="7"/>
          </w:tcPr>
          <w:p w14:paraId="34D85EDF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Литература: </w:t>
            </w:r>
          </w:p>
          <w:p w14:paraId="6BBC659A" w14:textId="4A68A863" w:rsidR="00E751CF" w:rsidRPr="00CA402C" w:rsidRDefault="00057DA1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1. Анете Ђуровић. </w:t>
            </w:r>
            <w:r>
              <w:rPr>
                <w:i/>
                <w:sz w:val="22"/>
                <w:szCs w:val="22"/>
              </w:rPr>
              <w:t>Gundfragen der deutschen Syntax</w:t>
            </w:r>
            <w:r>
              <w:rPr>
                <w:sz w:val="22"/>
                <w:szCs w:val="22"/>
              </w:rPr>
              <w:t xml:space="preserve">. Београд: Филолошки факултет Универзитета у Београду, 2001. </w:t>
            </w:r>
            <w:r w:rsidR="00CA402C">
              <w:rPr>
                <w:sz w:val="22"/>
                <w:szCs w:val="22"/>
              </w:rPr>
              <w:br/>
            </w:r>
            <w:r w:rsidR="00CA402C">
              <w:rPr>
                <w:sz w:val="22"/>
                <w:szCs w:val="22"/>
                <w:lang w:val="sr-Cyrl-RS"/>
              </w:rPr>
              <w:t>Допунска:</w:t>
            </w:r>
          </w:p>
          <w:p w14:paraId="3592C7EC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Engel, Ulrich. </w:t>
            </w:r>
            <w:r>
              <w:rPr>
                <w:i/>
                <w:sz w:val="22"/>
                <w:szCs w:val="22"/>
              </w:rPr>
              <w:t>Deutsche Grammatik</w:t>
            </w:r>
            <w:r>
              <w:rPr>
                <w:sz w:val="22"/>
                <w:szCs w:val="22"/>
              </w:rPr>
              <w:t xml:space="preserve">. Heidelberg, 1988. </w:t>
            </w:r>
          </w:p>
          <w:p w14:paraId="5B0C6FB1" w14:textId="77777777" w:rsidR="00E751CF" w:rsidRDefault="00CA40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057DA1">
              <w:rPr>
                <w:sz w:val="22"/>
                <w:szCs w:val="22"/>
              </w:rPr>
              <w:t xml:space="preserve">. Engel, Ulrich. </w:t>
            </w:r>
            <w:r w:rsidR="00057DA1">
              <w:rPr>
                <w:i/>
                <w:sz w:val="22"/>
                <w:szCs w:val="22"/>
              </w:rPr>
              <w:t>Syntax der deutschen Gegenwartssprache</w:t>
            </w:r>
            <w:r w:rsidR="00057DA1">
              <w:rPr>
                <w:sz w:val="22"/>
                <w:szCs w:val="22"/>
              </w:rPr>
              <w:t xml:space="preserve">. 2009. </w:t>
            </w:r>
          </w:p>
          <w:p w14:paraId="0725B3AB" w14:textId="232B8179" w:rsidR="00CA402C" w:rsidRDefault="00CA40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057DA1">
              <w:rPr>
                <w:sz w:val="22"/>
                <w:szCs w:val="22"/>
              </w:rPr>
              <w:t xml:space="preserve">. Đukanović, Jovan. </w:t>
            </w:r>
            <w:r w:rsidR="00057DA1">
              <w:rPr>
                <w:i/>
                <w:sz w:val="22"/>
                <w:szCs w:val="22"/>
              </w:rPr>
              <w:t>Der komplexe Satz im Deutschen</w:t>
            </w:r>
            <w:r w:rsidR="00057DA1">
              <w:rPr>
                <w:sz w:val="22"/>
                <w:szCs w:val="22"/>
              </w:rPr>
              <w:t>. Beograd: Zavod za udžbenike i nastavna sredstva 1998.</w:t>
            </w:r>
          </w:p>
        </w:tc>
      </w:tr>
      <w:tr w:rsidR="00E751CF" w14:paraId="2614EEAC" w14:textId="77777777">
        <w:tc>
          <w:tcPr>
            <w:tcW w:w="8015" w:type="dxa"/>
            <w:gridSpan w:val="5"/>
          </w:tcPr>
          <w:p w14:paraId="2778AD60" w14:textId="77777777" w:rsidR="00E751CF" w:rsidRDefault="00057D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часова  активне наставе</w:t>
            </w:r>
          </w:p>
        </w:tc>
        <w:tc>
          <w:tcPr>
            <w:tcW w:w="1705" w:type="dxa"/>
            <w:gridSpan w:val="2"/>
            <w:vMerge w:val="restart"/>
          </w:tcPr>
          <w:p w14:paraId="5BA00CB9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E751CF" w14:paraId="3FF21F63" w14:textId="77777777">
        <w:tc>
          <w:tcPr>
            <w:tcW w:w="1560" w:type="dxa"/>
          </w:tcPr>
          <w:p w14:paraId="0C1511AE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Предавања: 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F5407D8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Вежбе:  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78" w:type="dxa"/>
            <w:gridSpan w:val="2"/>
          </w:tcPr>
          <w:p w14:paraId="75BDB5D1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802" w:type="dxa"/>
          </w:tcPr>
          <w:p w14:paraId="09F516A7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705" w:type="dxa"/>
            <w:gridSpan w:val="2"/>
            <w:vMerge/>
          </w:tcPr>
          <w:p w14:paraId="1A72C4BC" w14:textId="77777777" w:rsidR="00E751CF" w:rsidRDefault="00E75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E751CF" w14:paraId="26DB5E64" w14:textId="77777777">
        <w:tc>
          <w:tcPr>
            <w:tcW w:w="9720" w:type="dxa"/>
            <w:gridSpan w:val="7"/>
          </w:tcPr>
          <w:p w14:paraId="46AAF08E" w14:textId="77777777" w:rsidR="00E751CF" w:rsidRDefault="00057DA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Методе извођења наставе: </w:t>
            </w:r>
            <w:r>
              <w:rPr>
                <w:sz w:val="22"/>
                <w:szCs w:val="22"/>
              </w:rPr>
              <w:t>Излагање, дискусија, вежбе, практичан рад на тексту (на примерима се обрађују садржаји кроз дискусију о феноменима синтаксе сложене реченице немачког језика).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751CF" w14:paraId="2A0D838B" w14:textId="77777777">
        <w:tc>
          <w:tcPr>
            <w:tcW w:w="9720" w:type="dxa"/>
            <w:gridSpan w:val="7"/>
          </w:tcPr>
          <w:p w14:paraId="48C0DDE5" w14:textId="77777777" w:rsidR="00E751CF" w:rsidRDefault="00057D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E751CF" w14:paraId="1D265A0C" w14:textId="77777777">
        <w:tc>
          <w:tcPr>
            <w:tcW w:w="3929" w:type="dxa"/>
            <w:gridSpan w:val="3"/>
          </w:tcPr>
          <w:p w14:paraId="637C2DCE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284" w:type="dxa"/>
          </w:tcPr>
          <w:p w14:paraId="2DF62E86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3495" w:type="dxa"/>
            <w:gridSpan w:val="2"/>
          </w:tcPr>
          <w:p w14:paraId="586399BA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012" w:type="dxa"/>
          </w:tcPr>
          <w:p w14:paraId="000D669E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</w:tr>
      <w:tr w:rsidR="00E751CF" w14:paraId="08D1774C" w14:textId="77777777">
        <w:tc>
          <w:tcPr>
            <w:tcW w:w="3929" w:type="dxa"/>
            <w:gridSpan w:val="3"/>
          </w:tcPr>
          <w:p w14:paraId="63593D00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активност у току предавања</w:t>
            </w:r>
          </w:p>
        </w:tc>
        <w:tc>
          <w:tcPr>
            <w:tcW w:w="1284" w:type="dxa"/>
          </w:tcPr>
          <w:p w14:paraId="71860AC7" w14:textId="4807A543" w:rsidR="00E751CF" w:rsidRDefault="00E751CF">
            <w:pPr>
              <w:rPr>
                <w:sz w:val="22"/>
                <w:szCs w:val="22"/>
              </w:rPr>
            </w:pPr>
          </w:p>
        </w:tc>
        <w:tc>
          <w:tcPr>
            <w:tcW w:w="3495" w:type="dxa"/>
            <w:gridSpan w:val="2"/>
          </w:tcPr>
          <w:p w14:paraId="3E587612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012" w:type="dxa"/>
          </w:tcPr>
          <w:p w14:paraId="62B65B17" w14:textId="5D1F4BC4" w:rsidR="00E751CF" w:rsidRPr="00CA402C" w:rsidRDefault="00CA402C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60</w:t>
            </w:r>
          </w:p>
        </w:tc>
      </w:tr>
      <w:tr w:rsidR="00E751CF" w14:paraId="01EE1C37" w14:textId="77777777">
        <w:tc>
          <w:tcPr>
            <w:tcW w:w="3929" w:type="dxa"/>
            <w:gridSpan w:val="3"/>
          </w:tcPr>
          <w:p w14:paraId="66DA4E56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</w:t>
            </w:r>
          </w:p>
        </w:tc>
        <w:tc>
          <w:tcPr>
            <w:tcW w:w="1284" w:type="dxa"/>
          </w:tcPr>
          <w:p w14:paraId="5FFC2E21" w14:textId="0484D04B" w:rsidR="00E751CF" w:rsidRDefault="00CA402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4</w:t>
            </w:r>
            <w:r w:rsidR="00057DA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95" w:type="dxa"/>
            <w:gridSpan w:val="2"/>
          </w:tcPr>
          <w:p w14:paraId="68828F9D" w14:textId="77777777" w:rsidR="00E751CF" w:rsidRDefault="00057D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012" w:type="dxa"/>
          </w:tcPr>
          <w:p w14:paraId="73CC5BE3" w14:textId="6B058D14" w:rsidR="00E751CF" w:rsidRDefault="00E751CF">
            <w:pPr>
              <w:rPr>
                <w:sz w:val="22"/>
                <w:szCs w:val="22"/>
              </w:rPr>
            </w:pPr>
          </w:p>
        </w:tc>
      </w:tr>
    </w:tbl>
    <w:p w14:paraId="26BD0A20" w14:textId="77777777" w:rsidR="00E751CF" w:rsidRDefault="00E751CF"/>
    <w:sectPr w:rsidR="00E751CF">
      <w:headerReference w:type="default" r:id="rId6"/>
      <w:footerReference w:type="default" r:id="rId7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8AB96" w14:textId="77777777" w:rsidR="00057DA1" w:rsidRDefault="00057DA1">
      <w:r>
        <w:separator/>
      </w:r>
    </w:p>
  </w:endnote>
  <w:endnote w:type="continuationSeparator" w:id="0">
    <w:p w14:paraId="67589BE7" w14:textId="77777777" w:rsidR="00057DA1" w:rsidRDefault="0005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FDFF4" w14:textId="77777777" w:rsidR="00E751CF" w:rsidRDefault="00057D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>
        <w:rPr>
          <w:color w:val="0000FF"/>
          <w:u w:val="single"/>
        </w:rPr>
        <w:t>www.filfak.ni.ac.rs</w:t>
      </w:r>
    </w:hyperlink>
  </w:p>
  <w:p w14:paraId="20EF605F" w14:textId="77777777" w:rsidR="00E751CF" w:rsidRDefault="00E751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CC705" w14:textId="77777777" w:rsidR="00057DA1" w:rsidRDefault="00057DA1">
      <w:r>
        <w:separator/>
      </w:r>
    </w:p>
  </w:footnote>
  <w:footnote w:type="continuationSeparator" w:id="0">
    <w:p w14:paraId="5E28575B" w14:textId="77777777" w:rsidR="00057DA1" w:rsidRDefault="00057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8AE94" w14:textId="77777777" w:rsidR="00E751CF" w:rsidRDefault="00057D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E751CF" w14:paraId="51975849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339E330A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798A385" wp14:editId="45C5F38B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5718E737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16B07FD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321E5B0A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61CE73F" wp14:editId="2DE04E3B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E751CF" w14:paraId="33E390C8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3622D790" w14:textId="77777777" w:rsidR="00E751CF" w:rsidRDefault="00E751C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71B4907E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3718222B" w14:textId="77777777" w:rsidR="00E751CF" w:rsidRDefault="00E751C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E751CF" w14:paraId="7292C00F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3C36153C" w14:textId="77777777" w:rsidR="00E751CF" w:rsidRDefault="00E751C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01D96AB4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0CDF2EF2" w14:textId="77777777" w:rsidR="00E751CF" w:rsidRDefault="00057D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6918AC31" w14:textId="77777777" w:rsidR="00E751CF" w:rsidRDefault="00E751C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2DF026E" w14:textId="77777777" w:rsidR="00E751CF" w:rsidRDefault="00057D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1CF"/>
    <w:rsid w:val="00057DA1"/>
    <w:rsid w:val="00CA402C"/>
    <w:rsid w:val="00E7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05028"/>
  <w15:docId w15:val="{726B3BF0-975D-4005-A7EF-60341EE2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2024-09-12T10:09:00Z</dcterms:created>
  <dcterms:modified xsi:type="dcterms:W3CDTF">2024-09-12T10:12:00Z</dcterms:modified>
</cp:coreProperties>
</file>